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72" w:rsidRPr="00DE1D72" w:rsidRDefault="00DE1D72" w:rsidP="00DE1D72">
      <w:pPr>
        <w:spacing w:after="225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es-AR"/>
        </w:rPr>
      </w:pPr>
      <w:bookmarkStart w:id="0" w:name="_GoBack"/>
      <w:bookmarkEnd w:id="0"/>
      <w:proofErr w:type="spellStart"/>
      <w:r w:rsidRPr="00DE1D72">
        <w:rPr>
          <w:rFonts w:ascii="Arial" w:eastAsia="Times New Roman" w:hAnsi="Arial" w:cs="Arial"/>
          <w:color w:val="333333"/>
          <w:sz w:val="45"/>
          <w:szCs w:val="45"/>
          <w:lang w:eastAsia="es-AR"/>
        </w:rPr>
        <w:t>Res.SSPGC</w:t>
      </w:r>
      <w:proofErr w:type="spellEnd"/>
      <w:r w:rsidRPr="00DE1D72">
        <w:rPr>
          <w:rFonts w:ascii="Arial" w:eastAsia="Times New Roman" w:hAnsi="Arial" w:cs="Arial"/>
          <w:color w:val="333333"/>
          <w:sz w:val="45"/>
          <w:szCs w:val="45"/>
          <w:lang w:eastAsia="es-AR"/>
        </w:rPr>
        <w:t xml:space="preserve"> 8/22</w:t>
      </w:r>
    </w:p>
    <w:p w:rsidR="00DE1D72" w:rsidRPr="00DE1D72" w:rsidRDefault="00DE1D72" w:rsidP="00DE1D72">
      <w:pPr>
        <w:spacing w:after="225" w:line="300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s-AR"/>
        </w:rPr>
      </w:pPr>
      <w:r w:rsidRPr="00DE1D72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AR"/>
        </w:rPr>
        <w:t>Ref. Licencias de importación - SIMI - Modificaciones.</w:t>
      </w:r>
      <w:r w:rsidRPr="00DE1D72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AR"/>
        </w:rPr>
        <w:br/>
        <w:t>01/07/2022 (BO 04/07/2022)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AR"/>
        </w:rPr>
      </w:pPr>
      <w:r w:rsidRPr="00DE1D72">
        <w:rPr>
          <w:rFonts w:ascii="Times New Roman" w:eastAsia="Times New Roman" w:hAnsi="Times New Roman" w:cs="Times New Roman"/>
          <w:b/>
          <w:bCs/>
          <w:sz w:val="21"/>
          <w:szCs w:val="21"/>
          <w:lang w:eastAsia="es-AR"/>
        </w:rPr>
        <w:t>ANEXO V</w:t>
      </w:r>
    </w:p>
    <w:p w:rsidR="00DE1D72" w:rsidRPr="00DE1D72" w:rsidRDefault="00DE1D72" w:rsidP="00DE1D72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es-AR"/>
        </w:rPr>
      </w:pPr>
    </w:p>
    <w:tbl>
      <w:tblPr>
        <w:tblW w:w="104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5877"/>
        <w:gridCol w:w="3271"/>
      </w:tblGrid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NCM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SITUACION ANTERIOR</w:t>
            </w:r>
          </w:p>
        </w:tc>
        <w:tc>
          <w:tcPr>
            <w:tcW w:w="32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MODIFICACION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6307.90.90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LNA: Únicamente pectoral y espaldar unidos mediante cintas ('chalecos') de blindaje a prueba de balas.</w:t>
            </w:r>
          </w:p>
        </w:tc>
        <w:tc>
          <w:tcPr>
            <w:tcW w:w="327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LNA: Únicamente:</w:t>
            </w:r>
          </w:p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a) Pectoral y espaldar unidos mediante cintas ('chalecos') de blindaje a prueba de balas (R. 3115/94 ANA);</w:t>
            </w:r>
          </w:p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b) Cintas con uno o ambos bordes no rectilíneos, con un contenido de hilos de elastómeros o hilos de caucho superior o igual al 5% en peso, con hilos de elastómeros.</w:t>
            </w:r>
          </w:p>
        </w:tc>
      </w:tr>
    </w:tbl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AR"/>
        </w:rPr>
      </w:pP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AR"/>
        </w:rPr>
      </w:pPr>
      <w:r w:rsidRPr="00DE1D72">
        <w:rPr>
          <w:rFonts w:ascii="Times New Roman" w:eastAsia="Times New Roman" w:hAnsi="Times New Roman" w:cs="Times New Roman"/>
          <w:b/>
          <w:bCs/>
          <w:sz w:val="21"/>
          <w:szCs w:val="21"/>
          <w:lang w:eastAsia="es-AR"/>
        </w:rPr>
        <w:t>ANEXO XI</w:t>
      </w:r>
    </w:p>
    <w:p w:rsidR="00DE1D72" w:rsidRPr="00DE1D72" w:rsidRDefault="00DE1D72" w:rsidP="00DE1D72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es-AR"/>
        </w:rPr>
      </w:pPr>
    </w:p>
    <w:tbl>
      <w:tblPr>
        <w:tblW w:w="104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2233"/>
        <w:gridCol w:w="6915"/>
      </w:tblGrid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NCM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SITUACION ANTERIOR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MODIFICACION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0203.19.00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0203.29.00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0210.19.00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lastRenderedPageBreak/>
              <w:t>2204.29.10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3919.90.10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LNA: Únicamente en rollos, sin imprimir de forma cuadrada o rectangular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4804.11.00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4805.24.00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4805.25.00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7208.51.00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LNA: Excepto:</w:t>
            </w:r>
          </w:p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a) De espesor inferior o igual a 12,7 mm con un contenido de carbono superior o igual al 0,6 %, en peso (R.458/99 </w:t>
            </w:r>
            <w:proofErr w:type="spellStart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MEyOSP</w:t>
            </w:r>
            <w:proofErr w:type="spellEnd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); b) De espesor inferior o igual a 12,7 mm en calidades para fabricar caños soldados bajo normas del American </w:t>
            </w:r>
            <w:proofErr w:type="spellStart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Petroleum</w:t>
            </w:r>
            <w:proofErr w:type="spellEnd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Institute</w:t>
            </w:r>
            <w:proofErr w:type="spellEnd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;</w:t>
            </w:r>
          </w:p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c) De espesor inferior o igual a 12,7 mm, de anchura inferior o igual a 1870 </w:t>
            </w:r>
            <w:proofErr w:type="spellStart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mm.</w:t>
            </w:r>
            <w:proofErr w:type="spellEnd"/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7208.52.00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LNA: Excepto:</w:t>
            </w:r>
          </w:p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a) Con un contenido de carbono superior o igual al 0,6 % en peso (R.458/99 MEYOSP);</w:t>
            </w:r>
          </w:p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b) En calidades para fabricar caños soldados bajo normas del American </w:t>
            </w:r>
            <w:proofErr w:type="spellStart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Petroleum</w:t>
            </w:r>
            <w:proofErr w:type="spellEnd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Institute</w:t>
            </w:r>
            <w:proofErr w:type="spellEnd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;</w:t>
            </w:r>
          </w:p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c) De anchura inferior o igual a 1870 </w:t>
            </w:r>
            <w:proofErr w:type="spellStart"/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mm.</w:t>
            </w:r>
            <w:proofErr w:type="spellEnd"/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8422.20.00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LNA: Únicamente Máquinas y aparatos para limpiar o secar botellas.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8422.90.90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</w:t>
            </w:r>
          </w:p>
        </w:tc>
      </w:tr>
      <w:tr w:rsidR="00DE1D72" w:rsidRPr="00DE1D72" w:rsidTr="00DE1D7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lastRenderedPageBreak/>
              <w:t>8428.90.90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LA</w:t>
            </w:r>
          </w:p>
        </w:tc>
        <w:tc>
          <w:tcPr>
            <w:tcW w:w="69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72" w:rsidRPr="00DE1D72" w:rsidRDefault="00DE1D72" w:rsidP="00DE1D72">
            <w:pPr>
              <w:spacing w:after="3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E1D72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LNA</w:t>
            </w:r>
          </w:p>
        </w:tc>
      </w:tr>
    </w:tbl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VISTO el Expediente N° EX-2022-62824114- -APN-DGD#MDP, y la Res.SC 523/17 de fecha 5 de julio del 2017 de la ex SECRETARÍA DE COMERCIO del ex MINISTERIO DE PRODUCCIÓN y sus modificaciones, y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CONSIDERANDO: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Que, por la Res.SC 523/17 de fecha 5 de julio de 2017 de la ex SECRETARÍA DE COMERCIO del ex MINISTERIO DE PRODUCCIÓN y sus modificaciones, se estableció un régimen de tramitación de Licencias Automáticas y No Automáticas de Importación para las mercaderías comprendidas en todas las posiciones arancelarias de la Nomenclatura Común del MERCOSUR (N.C.M) con destinación de importación definitiva para consumo.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Que, del mismo modo, se determinó que las posiciones arancelarias de la Nomenclatura Común del MERCOSUR (N.C.M.) individualizadas en los Anexos II a XIV de la citada resolución, estarán sujetas a la tramitación de Licencias de Importación de tipo “No Automáticas”.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Que la instrumentación de un Sistema de Licencias de Importación, en tanto provee de información estadística en niveles generales y particulares que permite identificar comportamientos disruptivos del comercio exterior, resulta una herramienta clave para la gestión de la política comercial externa con miras al desarrollo productivo nacional y acorde al contexto actual de las relaciones comerciales internacionales.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Que se ha identificado una serie de bienes respecto a los cuales, en función de la actual coyuntura económica, resulta indispensable evaluar sus respectivos flujos comerciales por lo que resulta aconsejable modificar la Res.SC 523/17 de la ex SECRETARÍA DE COMERCIO y sus modificaciones.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Que, a fin de instrumentar las modificaciones mencionadas precedentemente y evitar la dispersión normativa de su tratamiento, resulta conveniente sustituir íntegramente los Anexos V y XI de la Res.SC 523/17 de la ex SECRETARÍA DE COMERCIO y sus modificaciones.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Que la Dirección de Legales de Comercio y Minería, dependiente de la Dirección General de Asuntos Jurídicos del MINISTERIO DE DESARROLLO PRODUCTIVO ha tomado la intervención que le compete.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Que la presente medida se dicta en función de lo dispuesto por el Artículo 14 de la Res.SC 523/17 de la ex SECRETARÍA DE COMERCIO y sus modificaciones.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Por ello,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LA SUBSECRETARIA DE POLÍTICA Y GESTIÓN COMERCIAL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DISPONE: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ARTÍCULO 1°.- </w:t>
      </w:r>
      <w:proofErr w:type="spellStart"/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Sustitúyense</w:t>
      </w:r>
      <w:proofErr w:type="spellEnd"/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los Anexos V y XI de la Res.SC 523/17 de fecha 5 de julio de 2017 de la ex SECRETARÍA DE COMERCIO del ex MINISTERIO DE PRODUCCIÓN y sus modificaciones, por los Anexos I (IF-2022-66724392-APN-DIMP#MDP) y II (IF-2022-66755058-APN-DIMP#MDP) respectivamente, que forman parte integrante de la presente disposición.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ARTÍCULO 2°.- La presente medida entrará en vigencia a partir del día siguiente al de su publicación en el BOLETÍN OFICIAL.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ARTÍCULO 3º.- Comuníquese, publíquese, </w:t>
      </w:r>
      <w:proofErr w:type="spellStart"/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dése</w:t>
      </w:r>
      <w:proofErr w:type="spellEnd"/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la DIRECCIÓN NACIONAL DEL REGISTRO OFICIAL y archívese.</w:t>
      </w: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E1D72" w:rsidRPr="00DE1D72" w:rsidRDefault="00DE1D72" w:rsidP="00DE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E1D72">
        <w:rPr>
          <w:rFonts w:ascii="Times New Roman" w:eastAsia="Times New Roman" w:hAnsi="Times New Roman" w:cs="Times New Roman"/>
          <w:sz w:val="24"/>
          <w:szCs w:val="24"/>
          <w:lang w:eastAsia="es-AR"/>
        </w:rPr>
        <w:t>Mariana Isabel Pereyra</w:t>
      </w:r>
    </w:p>
    <w:p w:rsidR="002E6313" w:rsidRDefault="002E6313"/>
    <w:sectPr w:rsidR="002E6313" w:rsidSect="00DE1D7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72"/>
    <w:rsid w:val="002E6313"/>
    <w:rsid w:val="003D2484"/>
    <w:rsid w:val="00D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362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single" w:sz="36" w:space="17" w:color="69B1D8"/>
            <w:bottom w:val="none" w:sz="0" w:space="0" w:color="auto"/>
            <w:right w:val="none" w:sz="0" w:space="0" w:color="auto"/>
          </w:divBdr>
          <w:divsChild>
            <w:div w:id="12809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603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single" w:sz="36" w:space="17" w:color="69B1D8"/>
            <w:bottom w:val="none" w:sz="0" w:space="0" w:color="auto"/>
            <w:right w:val="none" w:sz="0" w:space="0" w:color="auto"/>
          </w:divBdr>
          <w:divsChild>
            <w:div w:id="18640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107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single" w:sz="36" w:space="17" w:color="69B1D8"/>
            <w:bottom w:val="none" w:sz="0" w:space="0" w:color="auto"/>
            <w:right w:val="none" w:sz="0" w:space="0" w:color="auto"/>
          </w:divBdr>
          <w:divsChild>
            <w:div w:id="1278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Profile</cp:lastModifiedBy>
  <cp:revision>2</cp:revision>
  <dcterms:created xsi:type="dcterms:W3CDTF">2022-07-04T16:42:00Z</dcterms:created>
  <dcterms:modified xsi:type="dcterms:W3CDTF">2022-07-04T16:42:00Z</dcterms:modified>
</cp:coreProperties>
</file>