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A0" w:rsidRPr="001163A0" w:rsidRDefault="001163A0" w:rsidP="001163A0">
      <w:pPr>
        <w:spacing w:before="345" w:after="173" w:line="240" w:lineRule="auto"/>
        <w:outlineLvl w:val="1"/>
        <w:rPr>
          <w:rFonts w:ascii="inherit" w:eastAsia="Times New Roman" w:hAnsi="inherit" w:cs="Arial"/>
          <w:color w:val="444444"/>
          <w:spacing w:val="2"/>
          <w:sz w:val="45"/>
          <w:szCs w:val="45"/>
          <w:lang w:eastAsia="es-AR"/>
        </w:rPr>
      </w:pPr>
      <w:bookmarkStart w:id="0" w:name="_GoBack"/>
      <w:bookmarkEnd w:id="0"/>
      <w:r w:rsidRPr="001163A0">
        <w:rPr>
          <w:rFonts w:ascii="inherit" w:eastAsia="Times New Roman" w:hAnsi="inherit" w:cs="Arial"/>
          <w:color w:val="444444"/>
          <w:spacing w:val="2"/>
          <w:sz w:val="45"/>
          <w:szCs w:val="45"/>
          <w:lang w:eastAsia="es-AR"/>
        </w:rPr>
        <w:t>DECRETO 541/19 - Modificaciones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before="173" w:after="173" w:line="300" w:lineRule="atLeast"/>
        <w:outlineLvl w:val="3"/>
        <w:rPr>
          <w:rFonts w:ascii="inherit" w:eastAsia="Times New Roman" w:hAnsi="inherit" w:cs="Arial"/>
          <w:color w:val="444444"/>
          <w:spacing w:val="2"/>
          <w:sz w:val="27"/>
          <w:szCs w:val="27"/>
          <w:lang w:eastAsia="es-AR"/>
        </w:rPr>
      </w:pPr>
      <w:r w:rsidRPr="001163A0">
        <w:rPr>
          <w:rFonts w:ascii="inherit" w:eastAsia="Times New Roman" w:hAnsi="inherit" w:cs="Arial"/>
          <w:i/>
          <w:iCs/>
          <w:color w:val="444444"/>
          <w:spacing w:val="2"/>
          <w:sz w:val="27"/>
          <w:szCs w:val="27"/>
          <w:lang w:eastAsia="es-AR"/>
        </w:rPr>
        <w:t>Síntesis de la</w:t>
      </w:r>
      <w:r>
        <w:rPr>
          <w:rFonts w:ascii="inherit" w:eastAsia="Times New Roman" w:hAnsi="inherit" w:cs="Arial"/>
          <w:i/>
          <w:iCs/>
          <w:color w:val="444444"/>
          <w:spacing w:val="2"/>
          <w:sz w:val="27"/>
          <w:szCs w:val="27"/>
          <w:lang w:eastAsia="es-AR"/>
        </w:rPr>
        <w:t>s</w:t>
      </w:r>
      <w:r w:rsidRPr="001163A0">
        <w:rPr>
          <w:rFonts w:ascii="inherit" w:eastAsia="Times New Roman" w:hAnsi="inherit" w:cs="Arial"/>
          <w:i/>
          <w:iCs/>
          <w:color w:val="444444"/>
          <w:spacing w:val="2"/>
          <w:sz w:val="27"/>
          <w:szCs w:val="27"/>
          <w:lang w:eastAsia="es-AR"/>
        </w:rPr>
        <w:t xml:space="preserve"> modificaciones producidas por el Dec.541/19 (se excluyen las modificaciones a la NCM producidas por el Art. 1 y 2).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b/>
          <w:bCs/>
          <w:color w:val="333333"/>
          <w:spacing w:val="2"/>
          <w:sz w:val="21"/>
          <w:szCs w:val="21"/>
          <w:lang w:eastAsia="es-AR"/>
        </w:rPr>
        <w:t>LISTA DE EXCEPCIONES AL AEC (ANEXO II Dec.1126/17)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83"/>
        <w:gridCol w:w="1571"/>
      </w:tblGrid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NCM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DIE</w:t>
            </w: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br/>
              <w:t>anterior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Dec.541/19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2909.41.00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2929.10.10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4,0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3206.11.10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 (4)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7222.20.00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7228.10.90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8501.31.20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 (21)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8528.71.19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</w:tr>
    </w:tbl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(4) Excepto pigmento tipo rutilo con tamaño promedio de partícula superior o igual a 0,6 micrómetros, con adición de modificadores, que tributará un DIE del 8%.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(21) Únicamente fotovoltaicos.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b/>
          <w:bCs/>
          <w:color w:val="333333"/>
          <w:spacing w:val="2"/>
          <w:sz w:val="21"/>
          <w:szCs w:val="21"/>
          <w:lang w:eastAsia="es-AR"/>
        </w:rPr>
        <w:t>REDUCCION DEL AEC BK (ANEXO III Dec.1126/17)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83"/>
        <w:gridCol w:w="1571"/>
      </w:tblGrid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NCM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DIE</w:t>
            </w: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br/>
              <w:t>anterior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Dec.541/19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8414.80.90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(5)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8416.20.90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(6)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8419.32.00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(10)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8419.89.99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(16)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8421.19.90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2,0 (21)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8421.99.99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(23)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8426.20.00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8426.49.90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(28)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8427.10.19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(29)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8427.10.90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8428.33.00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(30)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8433.53.00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(40)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8433.59.90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(47)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8433.60.90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(48)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8435.10.00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(51) (52)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8437.10.00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(57)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8438.60.00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(60)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8448.51.10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8452.29.24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2,0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8474.10.00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(72)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8474.20.90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(73)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8479.10.10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(85)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8479.10.90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(86) (87)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8479.89.99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(92)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8481.80.99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(94)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8704.10.90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 (96)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8704.23.40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8709.19.00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</w:t>
            </w:r>
          </w:p>
        </w:tc>
      </w:tr>
    </w:tbl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5. De aire, de émbolo (pistón), accionados por motor de encendido por chispa o compresión, incluso autopropulsado.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6. De pellets de madera, con potencia de superior a 20 kW.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10. Secadero </w:t>
      </w:r>
      <w:proofErr w:type="gram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continuo</w:t>
      </w:r>
      <w:proofErr w:type="gram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 en contraflujo, para madera, con capacidad de cámara superior o igual a 400 m3.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16. Máquinas para calentar (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replastificar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) superficies bituminosas de carreteras, autopropulsadas.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lastRenderedPageBreak/>
        <w:t>21. Centrifuga para la extracción continua de jugos de fruta, con descarga de sólidos.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23. Módulos 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multitubos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 (membranas), de los tipos utilizados en filtros de membranas tubulares.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28. Sobre orugas, de capacidad de 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izaje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 superior o igual a 30 t pero inferior a 70 t.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29. Carretillas apiladoras, autopropulsadas con motor eléctrico, de capacidad de carga inferior o igual a 6,5 t, incluso presentadas en CKD.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30. Transportador de acción continua, de banda, con dispositivo de derivación, lector de códigos de barra y tablero de control y mando, de los tipos utilizados en el proceso de clasificación de neumáticos.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40. Cosechadoras-atadoras de ajo.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47. Cabezal cosechador (picador) de forraje.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48. Máquinas para la limpieza de nueces.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51. Prensa continua, de banda, de los tipos utilizados para la extracción de jugos.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52. Despalilladoras.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57. Máquina para la clasificación de granos mediante cámaras (espectro visible, infrarrojo, ultravioleta).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60. Máquinas de quitar el ruezno (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desrueznador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), quebrantar o pelar, nueces, incluso combinadas entre 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si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72. Máquinas de cribar, propulsadas mediante orugas, con capacidad superior o igual a 200 t/h.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73. Máquinas de triturar, propulsadas mediante orugas, con capacidad superior o igual a 240 t/h.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85. 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Maquinas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 para reciclar en caliente capas superiores de carreteras asfálticas, equipadas con calentadores infrarrojos, picadoras de superficie asfáltica, cámara de mezcla y dispositivos para esparcir y compactar revestimientos </w:t>
      </w:r>
      <w:proofErr w:type="gram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bituminosas</w:t>
      </w:r>
      <w:proofErr w:type="gram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86. Máquinas para trazar líneas de circulación en vías públicas (demarcadoras), autopropulsadas.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87. Esparcidor de aglutinantes, incluso autopropulsados.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92. Máquina de posicionar y girar neumáticos, de los tipos utilizados en vehículos automóviles, con sistema de iluminación y espejos para inspección visual.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94. Compuerta para canalizaciones de riego, accionada por motor eléctrico, con 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caudalímetros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, tablero de control y mando, acumuladores eléctricos y panel solar.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96. Articulados.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b/>
          <w:bCs/>
          <w:color w:val="333333"/>
          <w:spacing w:val="2"/>
          <w:sz w:val="21"/>
          <w:szCs w:val="21"/>
          <w:lang w:eastAsia="es-AR"/>
        </w:rPr>
        <w:lastRenderedPageBreak/>
        <w:t>REDUCCION DEL AEC BIT (ANEXO IX Dec.1126/17)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83"/>
        <w:gridCol w:w="1571"/>
      </w:tblGrid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NCM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DIE</w:t>
            </w: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br/>
              <w:t>anterior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Dec.541/19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8532.21.20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8532.24.20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8541.40.32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 (2)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9032.89.21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9032.89.82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</w:tr>
    </w:tbl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2. Únicamente de potencia máxima de generación superior a 180 W.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b/>
          <w:bCs/>
          <w:color w:val="333333"/>
          <w:spacing w:val="2"/>
          <w:sz w:val="21"/>
          <w:szCs w:val="21"/>
          <w:lang w:eastAsia="es-AR"/>
        </w:rPr>
        <w:t>LISTA DE EXCEPCIONES TRANSITORIA AL AEC (ANEXO X Dec.1126/17)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83"/>
        <w:gridCol w:w="1571"/>
      </w:tblGrid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NCM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DIE</w:t>
            </w: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br/>
              <w:t>anterior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b/>
                <w:bCs/>
                <w:color w:val="333333"/>
                <w:spacing w:val="2"/>
                <w:sz w:val="21"/>
                <w:szCs w:val="21"/>
                <w:lang w:eastAsia="es-AR"/>
              </w:rPr>
              <w:t>Dec.541/19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2208.30.20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20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2933.69.13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24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3808.94.29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20 (4)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8207.30.00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35 (6)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8430.49.20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0</w:t>
            </w:r>
          </w:p>
        </w:tc>
      </w:tr>
      <w:tr w:rsidR="001163A0" w:rsidRPr="001163A0" w:rsidTr="001163A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8480.71.00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3A0" w:rsidRPr="001163A0" w:rsidRDefault="001163A0" w:rsidP="001163A0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</w:pPr>
            <w:r w:rsidRPr="001163A0">
              <w:rPr>
                <w:rFonts w:ascii="Roboto" w:eastAsia="Times New Roman" w:hAnsi="Roboto" w:cs="Times New Roman"/>
                <w:color w:val="333333"/>
                <w:spacing w:val="2"/>
                <w:sz w:val="21"/>
                <w:szCs w:val="21"/>
                <w:lang w:eastAsia="es-AR"/>
              </w:rPr>
              <w:t>24</w:t>
            </w:r>
          </w:p>
        </w:tc>
      </w:tr>
    </w:tbl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4. Excepto a base de ácido 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tricloroisocianúrico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 (TCCA), ácido 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dicloroisocianúrico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 (DCCA) o de sus derivados que tributará un Derecho de Importación Extrazona (D.I.E.) del 8%.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 xml:space="preserve">6 Únicamente útiles de estampar en caliente (Hot </w:t>
      </w:r>
      <w:proofErr w:type="spellStart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Stamping</w:t>
      </w:r>
      <w:proofErr w:type="spellEnd"/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), con dispositivos de refrigeración.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b/>
          <w:bCs/>
          <w:color w:val="333333"/>
          <w:spacing w:val="2"/>
          <w:sz w:val="21"/>
          <w:szCs w:val="21"/>
          <w:lang w:eastAsia="es-AR"/>
        </w:rPr>
        <w:t>LISTA DE BIENES USADOS PROHIBIDOS (ANEXO II RES.MEOSP 909/94)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b/>
          <w:bCs/>
          <w:color w:val="333333"/>
          <w:spacing w:val="2"/>
          <w:sz w:val="21"/>
          <w:szCs w:val="21"/>
          <w:lang w:eastAsia="es-AR"/>
        </w:rPr>
        <w:t>Incorporaciones: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8532.21.20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lastRenderedPageBreak/>
        <w:t>8532.24.20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8533.40.13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8536.90.60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8541.10.31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8541.10.32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  <w:r w:rsidRPr="001163A0"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  <w:t>8541.10.39</w:t>
      </w:r>
    </w:p>
    <w:p w:rsidR="001163A0" w:rsidRPr="001163A0" w:rsidRDefault="001163A0" w:rsidP="001163A0">
      <w:pPr>
        <w:spacing w:after="0" w:line="450" w:lineRule="atLeast"/>
        <w:rPr>
          <w:rFonts w:ascii="Roboto" w:eastAsia="Times New Roman" w:hAnsi="Roboto" w:cs="Arial"/>
          <w:color w:val="333333"/>
          <w:spacing w:val="2"/>
          <w:sz w:val="21"/>
          <w:szCs w:val="21"/>
          <w:lang w:eastAsia="es-AR"/>
        </w:rPr>
      </w:pPr>
    </w:p>
    <w:p w:rsidR="001163A0" w:rsidRDefault="001163A0" w:rsidP="001163A0"/>
    <w:p w:rsidR="004E49C7" w:rsidRDefault="004E49C7"/>
    <w:sectPr w:rsidR="004E4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A0"/>
    <w:rsid w:val="001163A0"/>
    <w:rsid w:val="004E49C7"/>
    <w:rsid w:val="0095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6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Diego Fernado Rodriguez</cp:lastModifiedBy>
  <cp:revision>2</cp:revision>
  <dcterms:created xsi:type="dcterms:W3CDTF">2019-08-09T18:10:00Z</dcterms:created>
  <dcterms:modified xsi:type="dcterms:W3CDTF">2019-08-09T18:10:00Z</dcterms:modified>
</cp:coreProperties>
</file>